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1450" w14:textId="1521E82E" w:rsidR="004101FC" w:rsidRPr="000336DA" w:rsidRDefault="004101FC" w:rsidP="000270C9">
      <w:pPr>
        <w:spacing w:after="0" w:line="240" w:lineRule="auto"/>
        <w:jc w:val="both"/>
        <w:rPr>
          <w:lang w:val="en-GB"/>
        </w:rPr>
      </w:pPr>
    </w:p>
    <w:p w14:paraId="37D57978" w14:textId="49E60F9D" w:rsidR="00D11062" w:rsidRPr="000336DA" w:rsidRDefault="00D11062" w:rsidP="000270C9">
      <w:pPr>
        <w:spacing w:after="0" w:line="240" w:lineRule="auto"/>
        <w:jc w:val="both"/>
        <w:rPr>
          <w:u w:val="single"/>
          <w:lang w:val="en-GB"/>
        </w:rPr>
      </w:pPr>
      <w:r w:rsidRPr="000336DA">
        <w:rPr>
          <w:u w:val="single"/>
          <w:lang w:val="en-GB"/>
        </w:rPr>
        <w:t>For official use!</w:t>
      </w:r>
    </w:p>
    <w:p w14:paraId="53254A8F" w14:textId="77777777" w:rsidR="00D11062" w:rsidRPr="000336DA" w:rsidRDefault="00D11062" w:rsidP="000270C9">
      <w:pPr>
        <w:spacing w:after="0" w:line="240" w:lineRule="auto"/>
        <w:jc w:val="both"/>
        <w:rPr>
          <w:lang w:val="en-GB"/>
        </w:rPr>
      </w:pPr>
    </w:p>
    <w:p w14:paraId="13A1BBE6" w14:textId="64C420A5" w:rsidR="00D11062" w:rsidRPr="000336DA" w:rsidRDefault="00D11062" w:rsidP="000270C9">
      <w:pPr>
        <w:spacing w:after="0" w:line="240" w:lineRule="auto"/>
        <w:jc w:val="center"/>
        <w:rPr>
          <w:b/>
          <w:bCs/>
          <w:sz w:val="26"/>
          <w:szCs w:val="26"/>
          <w:lang w:val="en-GB"/>
        </w:rPr>
      </w:pPr>
      <w:r w:rsidRPr="000336DA">
        <w:rPr>
          <w:b/>
          <w:bCs/>
          <w:sz w:val="26"/>
          <w:szCs w:val="26"/>
          <w:lang w:val="en-GB"/>
        </w:rPr>
        <w:t>Declaration of accession</w:t>
      </w:r>
    </w:p>
    <w:p w14:paraId="54C5323D" w14:textId="7588CD27" w:rsidR="00D11062" w:rsidRPr="000336DA" w:rsidRDefault="00D11062" w:rsidP="000270C9">
      <w:pPr>
        <w:spacing w:after="0" w:line="240" w:lineRule="auto"/>
        <w:jc w:val="center"/>
        <w:rPr>
          <w:lang w:val="en-GB"/>
        </w:rPr>
      </w:pPr>
      <w:r w:rsidRPr="000336DA">
        <w:rPr>
          <w:b/>
          <w:bCs/>
          <w:lang w:val="en-GB"/>
        </w:rPr>
        <w:t>A/</w:t>
      </w:r>
    </w:p>
    <w:p w14:paraId="2C25206F" w14:textId="77777777" w:rsidR="00D11062" w:rsidRPr="000336DA" w:rsidRDefault="00D11062" w:rsidP="000270C9">
      <w:pPr>
        <w:spacing w:after="0" w:line="240" w:lineRule="auto"/>
        <w:jc w:val="both"/>
        <w:rPr>
          <w:lang w:val="en-GB"/>
        </w:rPr>
      </w:pPr>
    </w:p>
    <w:p w14:paraId="275A06BC" w14:textId="7430FC26" w:rsidR="00D11062" w:rsidRPr="000336DA" w:rsidRDefault="00DE348C" w:rsidP="000270C9">
      <w:pPr>
        <w:spacing w:after="0" w:line="240" w:lineRule="auto"/>
        <w:jc w:val="both"/>
        <w:rPr>
          <w:lang w:val="en-GB"/>
        </w:rPr>
      </w:pPr>
      <w:r w:rsidRPr="000336DA">
        <w:rPr>
          <w:lang w:val="en-GB"/>
        </w:rPr>
        <w:t>With reference to Se</w:t>
      </w:r>
      <w:r w:rsidR="00495BC9" w:rsidRPr="000336DA">
        <w:rPr>
          <w:lang w:val="en-GB"/>
        </w:rPr>
        <w:t>c</w:t>
      </w:r>
      <w:r w:rsidRPr="000336DA">
        <w:rPr>
          <w:lang w:val="en-GB"/>
        </w:rPr>
        <w:t xml:space="preserve">tion 136 of </w:t>
      </w:r>
      <w:r w:rsidR="00D11062" w:rsidRPr="000336DA">
        <w:rPr>
          <w:lang w:val="en-GB"/>
        </w:rPr>
        <w:t xml:space="preserve">Act XXXVII of 2014 on the </w:t>
      </w:r>
      <w:r w:rsidRPr="000336DA">
        <w:rPr>
          <w:lang w:val="en-GB"/>
        </w:rPr>
        <w:t>F</w:t>
      </w:r>
      <w:r w:rsidR="00D11062" w:rsidRPr="000336DA">
        <w:rPr>
          <w:lang w:val="en-GB"/>
        </w:rPr>
        <w:t xml:space="preserve">urther </w:t>
      </w:r>
      <w:r w:rsidRPr="000336DA">
        <w:rPr>
          <w:lang w:val="en-GB"/>
        </w:rPr>
        <w:t>D</w:t>
      </w:r>
      <w:r w:rsidR="00D11062" w:rsidRPr="000336DA">
        <w:rPr>
          <w:lang w:val="en-GB"/>
        </w:rPr>
        <w:t xml:space="preserve">evelopment of the </w:t>
      </w:r>
      <w:r w:rsidRPr="000336DA">
        <w:rPr>
          <w:lang w:val="en-GB"/>
        </w:rPr>
        <w:t>I</w:t>
      </w:r>
      <w:r w:rsidR="00D11062" w:rsidRPr="000336DA">
        <w:rPr>
          <w:lang w:val="en-GB"/>
        </w:rPr>
        <w:t xml:space="preserve">nstitutional </w:t>
      </w:r>
      <w:r w:rsidRPr="000336DA">
        <w:rPr>
          <w:lang w:val="en-GB"/>
        </w:rPr>
        <w:t>S</w:t>
      </w:r>
      <w:r w:rsidR="00D11062" w:rsidRPr="000336DA">
        <w:rPr>
          <w:lang w:val="en-GB"/>
        </w:rPr>
        <w:t xml:space="preserve">ystem </w:t>
      </w:r>
      <w:r w:rsidRPr="000336DA">
        <w:rPr>
          <w:lang w:val="en-GB"/>
        </w:rPr>
        <w:t>S</w:t>
      </w:r>
      <w:r w:rsidR="00D11062" w:rsidRPr="000336DA">
        <w:rPr>
          <w:lang w:val="en-GB"/>
        </w:rPr>
        <w:t xml:space="preserve">trengthening the </w:t>
      </w:r>
      <w:r w:rsidRPr="000336DA">
        <w:rPr>
          <w:lang w:val="en-GB"/>
        </w:rPr>
        <w:t>S</w:t>
      </w:r>
      <w:r w:rsidR="00D11062" w:rsidRPr="000336DA">
        <w:rPr>
          <w:lang w:val="en-GB"/>
        </w:rPr>
        <w:t xml:space="preserve">ecurity of </w:t>
      </w:r>
      <w:r w:rsidRPr="000336DA">
        <w:rPr>
          <w:lang w:val="en-GB"/>
        </w:rPr>
        <w:t>C</w:t>
      </w:r>
      <w:r w:rsidR="00D11062" w:rsidRPr="000336DA">
        <w:rPr>
          <w:lang w:val="en-GB"/>
        </w:rPr>
        <w:t xml:space="preserve">ertain </w:t>
      </w:r>
      <w:r w:rsidRPr="000336DA">
        <w:rPr>
          <w:lang w:val="en-GB"/>
        </w:rPr>
        <w:t>A</w:t>
      </w:r>
      <w:r w:rsidR="00D11062" w:rsidRPr="000336DA">
        <w:rPr>
          <w:lang w:val="en-GB"/>
        </w:rPr>
        <w:t xml:space="preserve">ctors of the </w:t>
      </w:r>
      <w:r w:rsidRPr="000336DA">
        <w:rPr>
          <w:lang w:val="en-GB"/>
        </w:rPr>
        <w:t>F</w:t>
      </w:r>
      <w:r w:rsidR="00D11062" w:rsidRPr="000336DA">
        <w:rPr>
          <w:lang w:val="en-GB"/>
        </w:rPr>
        <w:t xml:space="preserve">inancial </w:t>
      </w:r>
      <w:r w:rsidRPr="000336DA">
        <w:rPr>
          <w:lang w:val="en-GB"/>
        </w:rPr>
        <w:t>I</w:t>
      </w:r>
      <w:r w:rsidR="00D11062" w:rsidRPr="000336DA">
        <w:rPr>
          <w:lang w:val="en-GB"/>
        </w:rPr>
        <w:t>ntermedia</w:t>
      </w:r>
      <w:r w:rsidRPr="000336DA">
        <w:rPr>
          <w:lang w:val="en-GB"/>
        </w:rPr>
        <w:t>ry S</w:t>
      </w:r>
      <w:r w:rsidR="00D11062" w:rsidRPr="000336DA">
        <w:rPr>
          <w:lang w:val="en-GB"/>
        </w:rPr>
        <w:t xml:space="preserve">ystem (hereinafter referred to as the </w:t>
      </w:r>
      <w:r w:rsidRPr="000336DA">
        <w:rPr>
          <w:b/>
          <w:bCs/>
          <w:lang w:val="en-GB"/>
        </w:rPr>
        <w:t>’Resolution Act</w:t>
      </w:r>
      <w:r w:rsidRPr="000336DA">
        <w:rPr>
          <w:lang w:val="en-GB"/>
        </w:rPr>
        <w:t>’)</w:t>
      </w:r>
      <w:r w:rsidR="00D11062" w:rsidRPr="000336DA">
        <w:rPr>
          <w:lang w:val="en-GB"/>
        </w:rPr>
        <w:t xml:space="preserve"> we hereby announce that our credit institution / investment </w:t>
      </w:r>
      <w:r w:rsidRPr="000336DA">
        <w:rPr>
          <w:lang w:val="en-GB"/>
        </w:rPr>
        <w:t>firm</w:t>
      </w:r>
      <w:r w:rsidR="00D11062" w:rsidRPr="000336DA">
        <w:rPr>
          <w:lang w:val="en-GB"/>
        </w:rPr>
        <w:t xml:space="preserve"> intends to join the Resolution Fund.</w:t>
      </w:r>
    </w:p>
    <w:p w14:paraId="43C12DEB" w14:textId="77777777" w:rsidR="00D11062" w:rsidRPr="000336DA" w:rsidRDefault="00D11062" w:rsidP="000270C9">
      <w:pPr>
        <w:spacing w:after="0" w:line="240" w:lineRule="auto"/>
        <w:jc w:val="both"/>
        <w:rPr>
          <w:lang w:val="en-GB"/>
        </w:rPr>
      </w:pPr>
    </w:p>
    <w:p w14:paraId="650B5F1E" w14:textId="272E46D4" w:rsidR="00D11062" w:rsidRPr="000336DA" w:rsidRDefault="00D11062" w:rsidP="000270C9">
      <w:pPr>
        <w:spacing w:after="0" w:line="240" w:lineRule="auto"/>
        <w:jc w:val="both"/>
        <w:rPr>
          <w:lang w:val="en-GB"/>
        </w:rPr>
      </w:pPr>
      <w:r w:rsidRPr="000336DA">
        <w:rPr>
          <w:lang w:val="en-GB"/>
        </w:rPr>
        <w:t xml:space="preserve">We </w:t>
      </w:r>
      <w:r w:rsidR="00262ADA" w:rsidRPr="000336DA">
        <w:rPr>
          <w:lang w:val="en-GB"/>
        </w:rPr>
        <w:t xml:space="preserve">hereby </w:t>
      </w:r>
      <w:r w:rsidRPr="000336DA">
        <w:rPr>
          <w:lang w:val="en-GB"/>
        </w:rPr>
        <w:t xml:space="preserve">undertake </w:t>
      </w:r>
      <w:r w:rsidR="001C4EB6" w:rsidRPr="000336DA">
        <w:rPr>
          <w:lang w:val="en-GB"/>
        </w:rPr>
        <w:t xml:space="preserve">to </w:t>
      </w:r>
      <w:r w:rsidRPr="000336DA">
        <w:rPr>
          <w:lang w:val="en-GB"/>
        </w:rPr>
        <w:t xml:space="preserve">meet our payment obligation specified in Section 137 </w:t>
      </w:r>
      <w:r w:rsidR="00262ADA" w:rsidRPr="000336DA">
        <w:rPr>
          <w:lang w:val="en-GB"/>
        </w:rPr>
        <w:t>of the Resolution Act i</w:t>
      </w:r>
      <w:r w:rsidRPr="000336DA">
        <w:rPr>
          <w:lang w:val="en-GB"/>
        </w:rPr>
        <w:t xml:space="preserve">n </w:t>
      </w:r>
      <w:r w:rsidR="001C4EB6" w:rsidRPr="000336DA">
        <w:rPr>
          <w:lang w:val="en-GB"/>
        </w:rPr>
        <w:t xml:space="preserve">a </w:t>
      </w:r>
      <w:r w:rsidRPr="000336DA">
        <w:rPr>
          <w:lang w:val="en-GB"/>
        </w:rPr>
        <w:t>time</w:t>
      </w:r>
      <w:r w:rsidR="001C4EB6" w:rsidRPr="000336DA">
        <w:rPr>
          <w:lang w:val="en-GB"/>
        </w:rPr>
        <w:t>ly manner</w:t>
      </w:r>
      <w:r w:rsidRPr="000336DA">
        <w:rPr>
          <w:lang w:val="en-GB"/>
        </w:rPr>
        <w:t xml:space="preserve">, </w:t>
      </w:r>
      <w:r w:rsidR="00262ADA" w:rsidRPr="000336DA">
        <w:rPr>
          <w:lang w:val="en-GB"/>
        </w:rPr>
        <w:t xml:space="preserve">that is, </w:t>
      </w:r>
      <w:r w:rsidRPr="000336DA">
        <w:rPr>
          <w:lang w:val="en-GB"/>
        </w:rPr>
        <w:t xml:space="preserve">an amount equal to five tenths of a thousand (0.05%) of our </w:t>
      </w:r>
      <w:r w:rsidR="00092645" w:rsidRPr="000336DA">
        <w:rPr>
          <w:lang w:val="en-GB"/>
        </w:rPr>
        <w:t xml:space="preserve">registered </w:t>
      </w:r>
      <w:r w:rsidRPr="000336DA">
        <w:rPr>
          <w:lang w:val="en-GB"/>
        </w:rPr>
        <w:t>capital</w:t>
      </w:r>
      <w:r w:rsidR="007C2E74" w:rsidRPr="000336DA">
        <w:rPr>
          <w:lang w:val="en-GB"/>
        </w:rPr>
        <w:t xml:space="preserve"> shall be </w:t>
      </w:r>
      <w:r w:rsidR="001C4EB6" w:rsidRPr="000336DA">
        <w:rPr>
          <w:lang w:val="en-GB"/>
        </w:rPr>
        <w:t xml:space="preserve">wire </w:t>
      </w:r>
      <w:r w:rsidR="007C2E74" w:rsidRPr="000336DA">
        <w:rPr>
          <w:lang w:val="en-GB"/>
        </w:rPr>
        <w:t xml:space="preserve">transferred by us, as a one-time accession fee, to the bank account of the Resolution Fund (account number: 19017004-01140229-09000004) held </w:t>
      </w:r>
      <w:r w:rsidR="001C4EB6" w:rsidRPr="000336DA">
        <w:rPr>
          <w:lang w:val="en-GB"/>
        </w:rPr>
        <w:t>at</w:t>
      </w:r>
      <w:r w:rsidR="007C2E74" w:rsidRPr="000336DA">
        <w:rPr>
          <w:lang w:val="en-GB"/>
        </w:rPr>
        <w:t xml:space="preserve"> Central Bank of Hungary (hereinafter: ’</w:t>
      </w:r>
      <w:r w:rsidR="00760B0A" w:rsidRPr="00760B0A">
        <w:rPr>
          <w:b/>
          <w:bCs/>
          <w:lang w:val="en-GB"/>
        </w:rPr>
        <w:t>MNB</w:t>
      </w:r>
      <w:r w:rsidR="007C2E74" w:rsidRPr="000336DA">
        <w:rPr>
          <w:lang w:val="en-GB"/>
        </w:rPr>
        <w:t xml:space="preserve">’) </w:t>
      </w:r>
      <w:r w:rsidRPr="000336DA">
        <w:rPr>
          <w:lang w:val="en-GB"/>
        </w:rPr>
        <w:t>within 30 days of recei</w:t>
      </w:r>
      <w:r w:rsidR="006F6DD0" w:rsidRPr="000336DA">
        <w:rPr>
          <w:lang w:val="en-GB"/>
        </w:rPr>
        <w:t>p</w:t>
      </w:r>
      <w:r w:rsidR="007C2E74" w:rsidRPr="000336DA">
        <w:rPr>
          <w:lang w:val="en-GB"/>
        </w:rPr>
        <w:t xml:space="preserve">t of </w:t>
      </w:r>
      <w:r w:rsidRPr="000336DA">
        <w:rPr>
          <w:lang w:val="en-GB"/>
        </w:rPr>
        <w:t xml:space="preserve">our </w:t>
      </w:r>
      <w:r w:rsidR="00262ADA" w:rsidRPr="000336DA">
        <w:rPr>
          <w:lang w:val="en-GB"/>
        </w:rPr>
        <w:t xml:space="preserve">operating </w:t>
      </w:r>
      <w:r w:rsidRPr="000336DA">
        <w:rPr>
          <w:lang w:val="en-GB"/>
        </w:rPr>
        <w:t xml:space="preserve">license from </w:t>
      </w:r>
      <w:r w:rsidR="00760B0A">
        <w:rPr>
          <w:lang w:val="en-GB"/>
        </w:rPr>
        <w:t>MNB</w:t>
      </w:r>
      <w:r w:rsidRPr="000336DA">
        <w:rPr>
          <w:lang w:val="en-GB"/>
        </w:rPr>
        <w:t xml:space="preserve">. We further undertake to immediately notify the Resolution Fund of any changes in the </w:t>
      </w:r>
      <w:r w:rsidR="001C4EB6" w:rsidRPr="000336DA">
        <w:rPr>
          <w:lang w:val="en-GB"/>
        </w:rPr>
        <w:t xml:space="preserve">person </w:t>
      </w:r>
      <w:r w:rsidRPr="000336DA">
        <w:rPr>
          <w:lang w:val="en-GB"/>
        </w:rPr>
        <w:t xml:space="preserve">and/or contact details of our </w:t>
      </w:r>
      <w:r w:rsidR="001C4EB6" w:rsidRPr="000336DA">
        <w:rPr>
          <w:lang w:val="en-GB"/>
        </w:rPr>
        <w:t xml:space="preserve">contact </w:t>
      </w:r>
      <w:r w:rsidRPr="000336DA">
        <w:rPr>
          <w:lang w:val="en-GB"/>
        </w:rPr>
        <w:t>employee as set out below.</w:t>
      </w:r>
    </w:p>
    <w:p w14:paraId="004CFE6F" w14:textId="77777777" w:rsidR="00D11062" w:rsidRPr="000336DA" w:rsidRDefault="00D11062" w:rsidP="000270C9">
      <w:pPr>
        <w:spacing w:after="0" w:line="240" w:lineRule="auto"/>
        <w:jc w:val="both"/>
        <w:rPr>
          <w:lang w:val="en-GB"/>
        </w:rPr>
      </w:pPr>
    </w:p>
    <w:p w14:paraId="50D4D925" w14:textId="77E2B9B0" w:rsidR="004101FC" w:rsidRPr="000336DA" w:rsidRDefault="00D11062" w:rsidP="000270C9">
      <w:pPr>
        <w:spacing w:after="0" w:line="240" w:lineRule="auto"/>
        <w:jc w:val="both"/>
        <w:rPr>
          <w:lang w:val="en-GB"/>
        </w:rPr>
      </w:pPr>
      <w:r w:rsidRPr="000336DA">
        <w:rPr>
          <w:lang w:val="en-GB"/>
        </w:rPr>
        <w:t>Details of the credit institution / investment firm</w:t>
      </w:r>
      <w:r w:rsidR="00AE43FA">
        <w:rPr>
          <w:lang w:val="en-GB"/>
        </w:rPr>
        <w:t>/ Union branch</w:t>
      </w:r>
      <w:r w:rsidRPr="000336DA">
        <w:rPr>
          <w:lang w:val="en-GB"/>
        </w:rPr>
        <w:t>:</w:t>
      </w:r>
    </w:p>
    <w:p w14:paraId="4FDD5A67" w14:textId="79E203A5" w:rsidR="008B5019" w:rsidRPr="000336DA" w:rsidRDefault="008B5019" w:rsidP="000270C9">
      <w:pPr>
        <w:spacing w:after="0" w:line="240" w:lineRule="auto"/>
        <w:jc w:val="both"/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93"/>
      </w:tblGrid>
      <w:tr w:rsidR="008B5019" w:rsidRPr="008B5019" w14:paraId="0A17EA90" w14:textId="77777777" w:rsidTr="00E2661C">
        <w:tc>
          <w:tcPr>
            <w:tcW w:w="4523" w:type="dxa"/>
          </w:tcPr>
          <w:p w14:paraId="5DCEE199" w14:textId="3427675A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corporate name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64B18A6A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374C2C64" w14:textId="77777777" w:rsidTr="00E2661C">
        <w:tc>
          <w:tcPr>
            <w:tcW w:w="4523" w:type="dxa"/>
          </w:tcPr>
          <w:p w14:paraId="528E58EC" w14:textId="7A48BF7E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registered seat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39F641EE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5B43681D" w14:textId="77777777" w:rsidTr="00E2661C">
        <w:tc>
          <w:tcPr>
            <w:tcW w:w="4523" w:type="dxa"/>
          </w:tcPr>
          <w:p w14:paraId="004FC582" w14:textId="5B8747A0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company registration number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0F58C327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578F7820" w14:textId="77777777" w:rsidTr="00E2661C">
        <w:tc>
          <w:tcPr>
            <w:tcW w:w="4523" w:type="dxa"/>
          </w:tcPr>
          <w:p w14:paraId="43FE0A8A" w14:textId="69B9D430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telephone n</w:t>
            </w:r>
            <w:r w:rsidR="00DC7349" w:rsidRPr="000336DA">
              <w:rPr>
                <w:lang w:val="en-GB"/>
              </w:rPr>
              <w:t>u</w:t>
            </w:r>
            <w:r w:rsidRPr="000336DA">
              <w:rPr>
                <w:lang w:val="en-GB"/>
              </w:rPr>
              <w:t>mber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03E732AB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667258C9" w14:textId="77777777" w:rsidTr="00E2661C">
        <w:tc>
          <w:tcPr>
            <w:tcW w:w="4523" w:type="dxa"/>
          </w:tcPr>
          <w:p w14:paraId="360051B2" w14:textId="18CF0905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facsimile number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454AECFC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6274D0E9" w14:textId="77777777" w:rsidTr="00E2661C">
        <w:tc>
          <w:tcPr>
            <w:tcW w:w="4523" w:type="dxa"/>
          </w:tcPr>
          <w:p w14:paraId="4BC4FDAC" w14:textId="0CC70A80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bank account number</w:t>
            </w:r>
            <w:r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5F44837A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116731AE" w14:textId="77777777" w:rsidTr="00E2661C">
        <w:tc>
          <w:tcPr>
            <w:tcW w:w="4523" w:type="dxa"/>
          </w:tcPr>
          <w:p w14:paraId="367F6292" w14:textId="299AD046" w:rsidR="008B5019" w:rsidRPr="008B5019" w:rsidRDefault="00A87BAC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name of managing director (senior officer)</w:t>
            </w:r>
            <w:r w:rsidR="008B5019"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4FF55268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66A95E36" w14:textId="77777777" w:rsidTr="00E2661C">
        <w:tc>
          <w:tcPr>
            <w:tcW w:w="4523" w:type="dxa"/>
          </w:tcPr>
          <w:p w14:paraId="3EE9A824" w14:textId="3531F671" w:rsidR="008B5019" w:rsidRPr="008B5019" w:rsidRDefault="00A87BAC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amount of registered capital in HUF</w:t>
            </w:r>
            <w:r w:rsidR="008B5019"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24E4554E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8B5019" w:rsidRPr="008B5019" w14:paraId="6ABC4866" w14:textId="77777777" w:rsidTr="00E2661C">
        <w:tc>
          <w:tcPr>
            <w:tcW w:w="4523" w:type="dxa"/>
          </w:tcPr>
          <w:p w14:paraId="0A902565" w14:textId="7865FB6E" w:rsidR="008B5019" w:rsidRPr="008B5019" w:rsidRDefault="00A87BAC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name, telephone number and e-mail address of the employee liaising with the Resolution Fund</w:t>
            </w:r>
            <w:r w:rsidR="008B5019" w:rsidRPr="008B5019">
              <w:rPr>
                <w:lang w:val="en-GB"/>
              </w:rPr>
              <w:t>:</w:t>
            </w:r>
          </w:p>
        </w:tc>
        <w:tc>
          <w:tcPr>
            <w:tcW w:w="4593" w:type="dxa"/>
          </w:tcPr>
          <w:p w14:paraId="56F75D1F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14:paraId="54325E99" w14:textId="77777777" w:rsidR="008B5019" w:rsidRPr="008B5019" w:rsidRDefault="008B5019" w:rsidP="008B5019">
      <w:pPr>
        <w:spacing w:after="0" w:line="240" w:lineRule="auto"/>
        <w:jc w:val="both"/>
        <w:rPr>
          <w:lang w:val="en-GB"/>
        </w:rPr>
      </w:pPr>
    </w:p>
    <w:p w14:paraId="36CE34EB" w14:textId="7D53D39C" w:rsidR="008B5019" w:rsidRPr="008B5019" w:rsidRDefault="004B503F" w:rsidP="008B5019">
      <w:pPr>
        <w:spacing w:after="0" w:line="240" w:lineRule="auto"/>
        <w:jc w:val="both"/>
        <w:rPr>
          <w:lang w:val="en-GB"/>
        </w:rPr>
      </w:pPr>
      <w:r w:rsidRPr="000336DA">
        <w:rPr>
          <w:lang w:val="en-GB"/>
        </w:rPr>
        <w:t>Dated: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B5019" w:rsidRPr="008B5019" w14:paraId="18E0D13C" w14:textId="77777777" w:rsidTr="00E2661C">
        <w:tc>
          <w:tcPr>
            <w:tcW w:w="4605" w:type="dxa"/>
          </w:tcPr>
          <w:p w14:paraId="1FD0FF67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4605" w:type="dxa"/>
          </w:tcPr>
          <w:p w14:paraId="2FE2D8B4" w14:textId="5B72DBF5" w:rsidR="008B5019" w:rsidRPr="008B5019" w:rsidRDefault="004B503F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________________________________________</w:t>
            </w:r>
          </w:p>
          <w:p w14:paraId="2CA03367" w14:textId="6846D8FB" w:rsidR="008B5019" w:rsidRPr="008B5019" w:rsidRDefault="004B503F" w:rsidP="0042243F">
            <w:pPr>
              <w:spacing w:after="0" w:line="240" w:lineRule="auto"/>
              <w:jc w:val="center"/>
              <w:rPr>
                <w:lang w:val="en-GB"/>
              </w:rPr>
            </w:pPr>
            <w:r w:rsidRPr="000336DA">
              <w:rPr>
                <w:lang w:val="en-GB"/>
              </w:rPr>
              <w:t>signature</w:t>
            </w:r>
            <w:r w:rsidR="00572CB2" w:rsidRPr="000336DA">
              <w:rPr>
                <w:lang w:val="en-GB"/>
              </w:rPr>
              <w:t>(s)</w:t>
            </w:r>
            <w:r w:rsidRPr="000336DA">
              <w:rPr>
                <w:lang w:val="en-GB"/>
              </w:rPr>
              <w:t xml:space="preserve"> of the registered representative</w:t>
            </w:r>
            <w:r w:rsidR="00572CB2" w:rsidRPr="000336DA">
              <w:rPr>
                <w:lang w:val="en-GB"/>
              </w:rPr>
              <w:t>(s)</w:t>
            </w:r>
            <w:r w:rsidRPr="000336DA">
              <w:rPr>
                <w:lang w:val="en-GB"/>
              </w:rPr>
              <w:t xml:space="preserve"> of the applicant credit institution / investment firm</w:t>
            </w:r>
            <w:r w:rsidR="00AE43FA">
              <w:rPr>
                <w:lang w:val="en-GB"/>
              </w:rPr>
              <w:t>/ Union branch</w:t>
            </w:r>
          </w:p>
        </w:tc>
      </w:tr>
    </w:tbl>
    <w:p w14:paraId="03C7A3F9" w14:textId="77777777" w:rsidR="008B5019" w:rsidRPr="008B5019" w:rsidRDefault="008B5019" w:rsidP="008B5019">
      <w:pPr>
        <w:spacing w:after="0" w:line="240" w:lineRule="auto"/>
        <w:jc w:val="both"/>
        <w:rPr>
          <w:b/>
          <w:lang w:val="en-GB"/>
        </w:rPr>
      </w:pPr>
    </w:p>
    <w:p w14:paraId="1CEA2B46" w14:textId="086AFED7" w:rsidR="008B5019" w:rsidRDefault="008B5019" w:rsidP="00DC7349">
      <w:pPr>
        <w:spacing w:after="0" w:line="240" w:lineRule="auto"/>
        <w:jc w:val="center"/>
        <w:rPr>
          <w:b/>
          <w:lang w:val="en-GB"/>
        </w:rPr>
      </w:pPr>
      <w:r w:rsidRPr="008B5019">
        <w:rPr>
          <w:b/>
          <w:lang w:val="en-GB"/>
        </w:rPr>
        <w:t>B/</w:t>
      </w:r>
    </w:p>
    <w:p w14:paraId="0BBF4597" w14:textId="77777777" w:rsidR="00303D13" w:rsidRPr="008B5019" w:rsidRDefault="00303D13" w:rsidP="00DC7349">
      <w:pPr>
        <w:spacing w:after="0" w:line="240" w:lineRule="auto"/>
        <w:jc w:val="center"/>
        <w:rPr>
          <w:b/>
          <w:lang w:val="en-GB"/>
        </w:rPr>
      </w:pPr>
    </w:p>
    <w:p w14:paraId="5E8AEF86" w14:textId="599A70AE" w:rsidR="008B5019" w:rsidRPr="008B5019" w:rsidRDefault="007A07C0" w:rsidP="008B5019">
      <w:pPr>
        <w:spacing w:after="0" w:line="240" w:lineRule="auto"/>
        <w:jc w:val="both"/>
        <w:rPr>
          <w:lang w:val="en-GB"/>
        </w:rPr>
      </w:pPr>
      <w:r w:rsidRPr="000336DA">
        <w:rPr>
          <w:lang w:val="en-GB"/>
        </w:rPr>
        <w:t>This is to confirm receipt by the Resolution Fund of declaration of accession of the above credit institution / investment firm</w:t>
      </w:r>
      <w:r w:rsidR="008B5019" w:rsidRPr="008B5019">
        <w:rPr>
          <w:lang w:val="en-GB"/>
        </w:rPr>
        <w:t>.</w:t>
      </w:r>
    </w:p>
    <w:p w14:paraId="1313D261" w14:textId="77777777" w:rsidR="008B5019" w:rsidRPr="008B5019" w:rsidRDefault="008B5019" w:rsidP="008B5019">
      <w:pPr>
        <w:spacing w:after="0" w:line="240" w:lineRule="auto"/>
        <w:jc w:val="both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B5019" w:rsidRPr="008B5019" w14:paraId="4FEB8164" w14:textId="77777777" w:rsidTr="00E2661C">
        <w:tc>
          <w:tcPr>
            <w:tcW w:w="4605" w:type="dxa"/>
          </w:tcPr>
          <w:p w14:paraId="7A7A9FE3" w14:textId="55B2C3BB" w:rsidR="008B5019" w:rsidRPr="008B5019" w:rsidRDefault="007A07C0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t>Dated</w:t>
            </w:r>
            <w:r w:rsidR="008B5019" w:rsidRPr="008B5019">
              <w:rPr>
                <w:lang w:val="en-GB"/>
              </w:rPr>
              <w:t>:</w:t>
            </w:r>
          </w:p>
          <w:p w14:paraId="4D54C0B3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4605" w:type="dxa"/>
          </w:tcPr>
          <w:p w14:paraId="477168F8" w14:textId="77777777" w:rsidR="008B5019" w:rsidRPr="008B5019" w:rsidRDefault="008B5019" w:rsidP="008B5019">
            <w:pPr>
              <w:spacing w:after="0" w:line="240" w:lineRule="auto"/>
              <w:jc w:val="both"/>
              <w:rPr>
                <w:lang w:val="en-GB"/>
              </w:rPr>
            </w:pPr>
          </w:p>
          <w:p w14:paraId="64D4D90B" w14:textId="1B2611F0" w:rsidR="008B5019" w:rsidRPr="008B5019" w:rsidRDefault="007A07C0" w:rsidP="008B5019">
            <w:pPr>
              <w:spacing w:after="0" w:line="240" w:lineRule="auto"/>
              <w:jc w:val="both"/>
              <w:rPr>
                <w:lang w:val="en-GB"/>
              </w:rPr>
            </w:pP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</w:r>
            <w:r w:rsidRPr="000336DA">
              <w:rPr>
                <w:lang w:val="en-GB"/>
              </w:rPr>
              <w:softHyphen/>
              <w:t>________________________________________</w:t>
            </w:r>
          </w:p>
          <w:p w14:paraId="54976ADD" w14:textId="074B9D80" w:rsidR="008B5019" w:rsidRPr="008B5019" w:rsidRDefault="007A07C0" w:rsidP="0042243F">
            <w:pPr>
              <w:spacing w:after="0" w:line="240" w:lineRule="auto"/>
              <w:jc w:val="center"/>
              <w:rPr>
                <w:lang w:val="en-GB"/>
              </w:rPr>
            </w:pPr>
            <w:r w:rsidRPr="000336DA">
              <w:rPr>
                <w:lang w:val="en-GB"/>
              </w:rPr>
              <w:t xml:space="preserve">Resolution </w:t>
            </w:r>
            <w:r w:rsidR="0042243F" w:rsidRPr="000336DA">
              <w:rPr>
                <w:lang w:val="en-GB"/>
              </w:rPr>
              <w:t>F</w:t>
            </w:r>
            <w:r w:rsidRPr="000336DA">
              <w:rPr>
                <w:lang w:val="en-GB"/>
              </w:rPr>
              <w:t>und</w:t>
            </w:r>
          </w:p>
        </w:tc>
      </w:tr>
    </w:tbl>
    <w:p w14:paraId="6EB2D629" w14:textId="77777777" w:rsidR="008B5019" w:rsidRPr="000336DA" w:rsidRDefault="008B5019" w:rsidP="000270C9">
      <w:pPr>
        <w:spacing w:after="0" w:line="240" w:lineRule="auto"/>
        <w:jc w:val="both"/>
        <w:rPr>
          <w:lang w:val="en-GB"/>
        </w:rPr>
      </w:pPr>
    </w:p>
    <w:sectPr w:rsidR="008B5019" w:rsidRPr="000336DA" w:rsidSect="00F70CF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FBFC" w14:textId="77777777" w:rsidR="009E18F0" w:rsidRDefault="009E18F0" w:rsidP="004101FC">
      <w:pPr>
        <w:spacing w:after="0" w:line="240" w:lineRule="auto"/>
      </w:pPr>
      <w:r>
        <w:separator/>
      </w:r>
    </w:p>
  </w:endnote>
  <w:endnote w:type="continuationSeparator" w:id="0">
    <w:p w14:paraId="7ACDA796" w14:textId="77777777" w:rsidR="009E18F0" w:rsidRDefault="009E18F0" w:rsidP="004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6CC6" w14:textId="77777777" w:rsidR="009E18F0" w:rsidRDefault="009E18F0" w:rsidP="004101FC">
      <w:pPr>
        <w:spacing w:after="0" w:line="240" w:lineRule="auto"/>
      </w:pPr>
      <w:r>
        <w:separator/>
      </w:r>
    </w:p>
  </w:footnote>
  <w:footnote w:type="continuationSeparator" w:id="0">
    <w:p w14:paraId="57BD5C6C" w14:textId="77777777" w:rsidR="009E18F0" w:rsidRDefault="009E18F0" w:rsidP="0041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9CC2" w14:textId="77777777" w:rsidR="00F70CF8" w:rsidRPr="001F510A" w:rsidRDefault="00F70CF8" w:rsidP="00F70CF8">
    <w:pPr>
      <w:pStyle w:val="lfej"/>
      <w:jc w:val="center"/>
      <w:rPr>
        <w:b/>
        <w:bCs/>
      </w:rPr>
    </w:pPr>
    <w:r w:rsidRPr="009553C6">
      <w:rPr>
        <w:noProof/>
      </w:rPr>
      <w:drawing>
        <wp:inline distT="0" distB="0" distL="0" distR="0" wp14:anchorId="08A4B5E5" wp14:editId="71FFCC77">
          <wp:extent cx="1760855" cy="119380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52D71" w14:textId="29B3DAF4" w:rsidR="004101FC" w:rsidRPr="00F70CF8" w:rsidRDefault="004101FC" w:rsidP="004101FC">
    <w:pPr>
      <w:pStyle w:val="lfej"/>
      <w:jc w:val="center"/>
      <w:rPr>
        <w:sz w:val="20"/>
        <w:szCs w:val="20"/>
      </w:rPr>
    </w:pPr>
    <w:r w:rsidRPr="00F70CF8">
      <w:rPr>
        <w:sz w:val="20"/>
        <w:szCs w:val="20"/>
      </w:rPr>
      <w:t>Köztelek utca 6, 1092 Budapest, Hungary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4"/>
    <w:rsid w:val="000270C9"/>
    <w:rsid w:val="0003081D"/>
    <w:rsid w:val="0003101D"/>
    <w:rsid w:val="000336DA"/>
    <w:rsid w:val="00062F7F"/>
    <w:rsid w:val="000758CF"/>
    <w:rsid w:val="00092645"/>
    <w:rsid w:val="000F17C6"/>
    <w:rsid w:val="00180DA1"/>
    <w:rsid w:val="001C4EB6"/>
    <w:rsid w:val="001D247E"/>
    <w:rsid w:val="00262ADA"/>
    <w:rsid w:val="00262DD5"/>
    <w:rsid w:val="00274E4B"/>
    <w:rsid w:val="002959DD"/>
    <w:rsid w:val="00296542"/>
    <w:rsid w:val="002A5B0B"/>
    <w:rsid w:val="002F25AF"/>
    <w:rsid w:val="00303D13"/>
    <w:rsid w:val="003B112F"/>
    <w:rsid w:val="003B1CBC"/>
    <w:rsid w:val="004101FC"/>
    <w:rsid w:val="0042243F"/>
    <w:rsid w:val="00493526"/>
    <w:rsid w:val="00495BC9"/>
    <w:rsid w:val="004B503F"/>
    <w:rsid w:val="004F3F2D"/>
    <w:rsid w:val="00507928"/>
    <w:rsid w:val="0053382C"/>
    <w:rsid w:val="00540A75"/>
    <w:rsid w:val="00545444"/>
    <w:rsid w:val="005716B3"/>
    <w:rsid w:val="005727F8"/>
    <w:rsid w:val="00572CB2"/>
    <w:rsid w:val="00597D7D"/>
    <w:rsid w:val="005A544B"/>
    <w:rsid w:val="005E2C9B"/>
    <w:rsid w:val="005F6BCA"/>
    <w:rsid w:val="006343F0"/>
    <w:rsid w:val="006B4F9A"/>
    <w:rsid w:val="006E5B53"/>
    <w:rsid w:val="006F6DD0"/>
    <w:rsid w:val="007250B8"/>
    <w:rsid w:val="0075505C"/>
    <w:rsid w:val="00760B0A"/>
    <w:rsid w:val="007A07C0"/>
    <w:rsid w:val="007C2E74"/>
    <w:rsid w:val="00870510"/>
    <w:rsid w:val="008A1C97"/>
    <w:rsid w:val="008B5019"/>
    <w:rsid w:val="008E6777"/>
    <w:rsid w:val="00913015"/>
    <w:rsid w:val="00933EDE"/>
    <w:rsid w:val="00943CAE"/>
    <w:rsid w:val="009E18F0"/>
    <w:rsid w:val="00A24FE0"/>
    <w:rsid w:val="00A87BAC"/>
    <w:rsid w:val="00AA7EBF"/>
    <w:rsid w:val="00AE43FA"/>
    <w:rsid w:val="00B4246C"/>
    <w:rsid w:val="00B76D62"/>
    <w:rsid w:val="00B8665C"/>
    <w:rsid w:val="00C31398"/>
    <w:rsid w:val="00C4634D"/>
    <w:rsid w:val="00C91B54"/>
    <w:rsid w:val="00CD672C"/>
    <w:rsid w:val="00D11062"/>
    <w:rsid w:val="00DA55A2"/>
    <w:rsid w:val="00DC7349"/>
    <w:rsid w:val="00DE348C"/>
    <w:rsid w:val="00E04268"/>
    <w:rsid w:val="00E126B5"/>
    <w:rsid w:val="00E92663"/>
    <w:rsid w:val="00EC12CE"/>
    <w:rsid w:val="00ED7613"/>
    <w:rsid w:val="00F254A7"/>
    <w:rsid w:val="00F70CF8"/>
    <w:rsid w:val="00F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462E8"/>
  <w15:chartTrackingRefBased/>
  <w15:docId w15:val="{32BD28C4-DC2F-4F11-BAF1-B45F88E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1FC"/>
  </w:style>
  <w:style w:type="paragraph" w:styleId="llb">
    <w:name w:val="footer"/>
    <w:basedOn w:val="Norml"/>
    <w:link w:val="llbChar"/>
    <w:uiPriority w:val="99"/>
    <w:unhideWhenUsed/>
    <w:rsid w:val="0041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1FC"/>
  </w:style>
  <w:style w:type="character" w:styleId="Jegyzethivatkozs">
    <w:name w:val="annotation reference"/>
    <w:basedOn w:val="Bekezdsalapbettpusa"/>
    <w:uiPriority w:val="99"/>
    <w:semiHidden/>
    <w:unhideWhenUsed/>
    <w:rsid w:val="00E926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26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26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26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266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E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D0CC-F3E3-4E54-84F7-0C9D3EEF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 Péter dr.</dc:creator>
  <cp:keywords/>
  <dc:description/>
  <cp:lastModifiedBy>Springel Balázs</cp:lastModifiedBy>
  <cp:revision>5</cp:revision>
  <cp:lastPrinted>2021-12-11T07:05:00Z</cp:lastPrinted>
  <dcterms:created xsi:type="dcterms:W3CDTF">2021-11-17T09:36:00Z</dcterms:created>
  <dcterms:modified xsi:type="dcterms:W3CDTF">2021-12-11T07:06:00Z</dcterms:modified>
</cp:coreProperties>
</file>